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162" w:rsidRDefault="0029037B" w:rsidP="0029037B">
      <w:pPr>
        <w:rPr>
          <w:b/>
          <w:sz w:val="32"/>
        </w:rPr>
      </w:pPr>
      <w:bookmarkStart w:id="0" w:name="_GoBack"/>
      <w:bookmarkEnd w:id="0"/>
      <w:r>
        <w:rPr>
          <w:rFonts w:ascii="Courier New" w:hAnsi="Courier New"/>
          <w:sz w:val="24"/>
          <w:lang w:val="en-US"/>
        </w:rPr>
        <w:t xml:space="preserve">                              </w:t>
      </w:r>
      <w:r w:rsidR="00DC6162">
        <w:rPr>
          <w:rFonts w:ascii="Courier New" w:hAnsi="Courier New"/>
          <w:sz w:val="24"/>
        </w:rPr>
        <w:object w:dxaOrig="630" w:dyaOrig="9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5pt;height:47.25pt" o:ole="" fillcolor="window">
            <v:imagedata r:id="rId8" o:title=""/>
          </v:shape>
          <o:OLEObject Type="Embed" ProgID="Word.Picture.8" ShapeID="_x0000_i1025" DrawAspect="Content" ObjectID="_1506518883" r:id="rId9"/>
        </w:object>
      </w:r>
    </w:p>
    <w:p w:rsidR="00DC6162" w:rsidRDefault="00DC6162" w:rsidP="00DC6162">
      <w:pPr>
        <w:jc w:val="center"/>
        <w:rPr>
          <w:b/>
          <w:sz w:val="32"/>
        </w:rPr>
      </w:pPr>
      <w:r>
        <w:rPr>
          <w:b/>
          <w:sz w:val="32"/>
        </w:rPr>
        <w:t>МІНІСТЕРСТВО ОХОРОНИ ЗДОРОВ’Я УКРАЇНИ</w:t>
      </w:r>
    </w:p>
    <w:p w:rsidR="00DC6162" w:rsidRDefault="00DC6162" w:rsidP="00DC6162">
      <w:pPr>
        <w:jc w:val="center"/>
        <w:rPr>
          <w:b/>
        </w:rPr>
      </w:pPr>
      <w:r>
        <w:rPr>
          <w:b/>
        </w:rPr>
        <w:t>(МОЗ України)</w:t>
      </w:r>
    </w:p>
    <w:p w:rsidR="00DC6162" w:rsidRDefault="00DC6162" w:rsidP="00DC6162">
      <w:pPr>
        <w:jc w:val="center"/>
        <w:rPr>
          <w:sz w:val="20"/>
        </w:rPr>
      </w:pPr>
      <w:r>
        <w:rPr>
          <w:sz w:val="20"/>
        </w:rPr>
        <w:t xml:space="preserve">вул. М.Грушевського, </w:t>
      </w:r>
      <w:smartTag w:uri="urn:schemas-microsoft-com:office:smarttags" w:element="metricconverter">
        <w:smartTagPr>
          <w:attr w:name="ProductID" w:val="7, м"/>
        </w:smartTagPr>
        <w:r>
          <w:rPr>
            <w:sz w:val="20"/>
          </w:rPr>
          <w:t>7, м</w:t>
        </w:r>
      </w:smartTag>
      <w:r>
        <w:rPr>
          <w:sz w:val="20"/>
        </w:rPr>
        <w:t xml:space="preserve">. Київ, 01601, тел. (044) 253-61-94, </w:t>
      </w:r>
      <w:r>
        <w:rPr>
          <w:sz w:val="20"/>
          <w:lang w:val="fr-FR"/>
        </w:rPr>
        <w:t>E-mail: moz@moz.gov.ua,</w:t>
      </w:r>
    </w:p>
    <w:p w:rsidR="00DC6162" w:rsidRDefault="00DC6162" w:rsidP="00DC6162">
      <w:pPr>
        <w:jc w:val="center"/>
        <w:rPr>
          <w:sz w:val="20"/>
        </w:rPr>
      </w:pPr>
      <w:r>
        <w:rPr>
          <w:sz w:val="20"/>
          <w:lang w:val="en-US"/>
        </w:rPr>
        <w:t>web</w:t>
      </w:r>
      <w:r>
        <w:rPr>
          <w:sz w:val="20"/>
          <w:lang w:val="ru-RU"/>
        </w:rPr>
        <w:t>:</w:t>
      </w:r>
      <w:r>
        <w:rPr>
          <w:sz w:val="20"/>
          <w:lang w:val="en-US"/>
        </w:rPr>
        <w:t>http</w:t>
      </w:r>
      <w:r>
        <w:rPr>
          <w:sz w:val="20"/>
          <w:lang w:val="ru-RU"/>
        </w:rPr>
        <w:t>://</w:t>
      </w:r>
      <w:r>
        <w:rPr>
          <w:sz w:val="20"/>
          <w:lang w:val="en-US"/>
        </w:rPr>
        <w:t>www</w:t>
      </w:r>
      <w:r>
        <w:rPr>
          <w:sz w:val="20"/>
          <w:lang w:val="ru-RU"/>
        </w:rPr>
        <w:t>.</w:t>
      </w:r>
      <w:r>
        <w:rPr>
          <w:sz w:val="20"/>
          <w:lang w:val="en-US"/>
        </w:rPr>
        <w:t>moz</w:t>
      </w:r>
      <w:r>
        <w:rPr>
          <w:sz w:val="20"/>
          <w:lang w:val="ru-RU"/>
        </w:rPr>
        <w:t>.</w:t>
      </w:r>
      <w:r>
        <w:rPr>
          <w:sz w:val="20"/>
          <w:lang w:val="en-US"/>
        </w:rPr>
        <w:t>gov</w:t>
      </w:r>
      <w:r>
        <w:rPr>
          <w:sz w:val="20"/>
          <w:lang w:val="ru-RU"/>
        </w:rPr>
        <w:t>.</w:t>
      </w:r>
      <w:r>
        <w:rPr>
          <w:sz w:val="20"/>
          <w:lang w:val="en-US"/>
        </w:rPr>
        <w:t>ua</w:t>
      </w:r>
      <w:r>
        <w:rPr>
          <w:sz w:val="20"/>
          <w:lang w:val="ru-RU"/>
        </w:rPr>
        <w:t xml:space="preserve">, </w:t>
      </w:r>
      <w:r>
        <w:rPr>
          <w:sz w:val="20"/>
        </w:rPr>
        <w:t>код ЄДРПОУ 00012925</w:t>
      </w:r>
    </w:p>
    <w:p w:rsidR="00DC6162" w:rsidRDefault="00DC6162" w:rsidP="00DC6162">
      <w:pPr>
        <w:jc w:val="center"/>
        <w:rPr>
          <w:sz w:val="20"/>
          <w:szCs w:val="20"/>
        </w:rPr>
      </w:pPr>
    </w:p>
    <w:p w:rsidR="00DC6162" w:rsidRPr="0029037B" w:rsidRDefault="00DC6162" w:rsidP="00DC6162">
      <w:pPr>
        <w:tabs>
          <w:tab w:val="left" w:pos="561"/>
        </w:tabs>
        <w:ind w:firstLine="720"/>
        <w:rPr>
          <w:sz w:val="20"/>
          <w:szCs w:val="20"/>
          <w:u w:val="single"/>
          <w:lang w:val="ru-RU"/>
        </w:rPr>
      </w:pPr>
      <w:r>
        <w:rPr>
          <w:sz w:val="20"/>
          <w:szCs w:val="20"/>
          <w:u w:val="single"/>
        </w:rPr>
        <w:t xml:space="preserve">   </w:t>
      </w:r>
      <w:r w:rsidR="00390AFD" w:rsidRPr="0029037B">
        <w:rPr>
          <w:sz w:val="20"/>
          <w:szCs w:val="20"/>
          <w:u w:val="single"/>
          <w:lang w:val="ru-RU"/>
        </w:rPr>
        <w:t>16</w:t>
      </w:r>
      <w:r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  <w:lang w:val="ru-RU"/>
        </w:rPr>
        <w:t>10</w:t>
      </w:r>
      <w:r>
        <w:rPr>
          <w:sz w:val="20"/>
          <w:szCs w:val="20"/>
          <w:u w:val="single"/>
        </w:rPr>
        <w:t xml:space="preserve">.2015 № 05.02- </w:t>
      </w:r>
      <w:r w:rsidR="00390AFD" w:rsidRPr="0029037B">
        <w:rPr>
          <w:sz w:val="20"/>
          <w:szCs w:val="20"/>
          <w:u w:val="single"/>
          <w:lang w:val="ru-RU"/>
        </w:rPr>
        <w:t>13/32968</w:t>
      </w:r>
    </w:p>
    <w:p w:rsidR="00DC6162" w:rsidRDefault="00DC6162" w:rsidP="00DC6162">
      <w:pPr>
        <w:ind w:left="3312"/>
        <w:jc w:val="right"/>
        <w:rPr>
          <w:b/>
        </w:rPr>
      </w:pPr>
    </w:p>
    <w:p w:rsidR="00390AFD" w:rsidRDefault="00390AFD" w:rsidP="00DC6162">
      <w:pPr>
        <w:ind w:left="4500"/>
        <w:jc w:val="both"/>
        <w:rPr>
          <w:b/>
          <w:snapToGrid w:val="0"/>
          <w:color w:val="000000"/>
        </w:rPr>
      </w:pPr>
    </w:p>
    <w:p w:rsidR="00390AFD" w:rsidRDefault="00390AFD" w:rsidP="00DC6162">
      <w:pPr>
        <w:ind w:left="4500"/>
        <w:jc w:val="both"/>
        <w:rPr>
          <w:b/>
          <w:snapToGrid w:val="0"/>
          <w:color w:val="000000"/>
        </w:rPr>
      </w:pPr>
    </w:p>
    <w:p w:rsidR="00DC6162" w:rsidRDefault="00DC6162" w:rsidP="00DC6162">
      <w:pPr>
        <w:ind w:left="4500"/>
        <w:jc w:val="both"/>
        <w:rPr>
          <w:color w:val="000000"/>
        </w:rPr>
      </w:pPr>
      <w:r>
        <w:rPr>
          <w:b/>
          <w:snapToGrid w:val="0"/>
          <w:color w:val="000000"/>
        </w:rPr>
        <w:t>Керівникам структурних підрозділів з питань охорони здоров’я обласних, Київської міської державних адміністрацій</w:t>
      </w:r>
      <w:r>
        <w:rPr>
          <w:color w:val="000000"/>
        </w:rPr>
        <w:t xml:space="preserve"> </w:t>
      </w:r>
    </w:p>
    <w:p w:rsidR="00DC6162" w:rsidRDefault="00DC6162" w:rsidP="00DC6162">
      <w:pPr>
        <w:ind w:left="4500"/>
        <w:jc w:val="both"/>
        <w:rPr>
          <w:color w:val="000000"/>
        </w:rPr>
      </w:pPr>
    </w:p>
    <w:p w:rsidR="00DC6162" w:rsidRDefault="00DC6162" w:rsidP="00DC6162">
      <w:pPr>
        <w:ind w:firstLine="709"/>
        <w:jc w:val="both"/>
        <w:rPr>
          <w:color w:val="000000"/>
        </w:rPr>
      </w:pPr>
    </w:p>
    <w:p w:rsidR="00DC6162" w:rsidRDefault="00DC6162" w:rsidP="00DC6162">
      <w:pPr>
        <w:spacing w:line="276" w:lineRule="auto"/>
        <w:ind w:firstLine="567"/>
        <w:jc w:val="both"/>
      </w:pPr>
      <w:r>
        <w:t xml:space="preserve">Міністерством охорони здоров’я </w:t>
      </w:r>
      <w:r w:rsidR="00857E1E">
        <w:t xml:space="preserve">України </w:t>
      </w:r>
      <w:r>
        <w:t xml:space="preserve">у відповідь на спалах поліомєліту та з метою припинення циркуляції вакциноспоріднених поліовірусів підготовлено наказ від 09.10.2015 № 671 «Про затвердження </w:t>
      </w:r>
      <w:r w:rsidRPr="003B141D">
        <w:t>План</w:t>
      </w:r>
      <w:r>
        <w:t>у</w:t>
      </w:r>
      <w:r w:rsidRPr="003B141D">
        <w:t xml:space="preserve"> заходів Міністерства охорони здоров’я України </w:t>
      </w:r>
      <w:r>
        <w:t xml:space="preserve">щодо </w:t>
      </w:r>
      <w:r w:rsidRPr="000E70F2">
        <w:t xml:space="preserve"> імунізації</w:t>
      </w:r>
      <w:r>
        <w:t xml:space="preserve"> </w:t>
      </w:r>
      <w:r w:rsidRPr="007A6C44">
        <w:t xml:space="preserve">населення </w:t>
      </w:r>
      <w:r>
        <w:t>від</w:t>
      </w:r>
      <w:r w:rsidRPr="000E70F2">
        <w:t xml:space="preserve"> поліомієліту</w:t>
      </w:r>
      <w:r>
        <w:t xml:space="preserve"> </w:t>
      </w:r>
      <w:r w:rsidRPr="000E70F2">
        <w:t xml:space="preserve"> на 2015 рік</w:t>
      </w:r>
      <w:r>
        <w:t>», яким затверджено план заходів щодо імунізації населення від поліомієліту.</w:t>
      </w:r>
    </w:p>
    <w:p w:rsidR="00DC6162" w:rsidRDefault="00DC6162" w:rsidP="00857E1E">
      <w:pPr>
        <w:spacing w:line="276" w:lineRule="auto"/>
        <w:ind w:firstLine="851"/>
        <w:jc w:val="both"/>
      </w:pPr>
      <w:r>
        <w:t>Основним заходом</w:t>
      </w:r>
      <w:r w:rsidR="00460FEC">
        <w:t>,</w:t>
      </w:r>
      <w:r>
        <w:t xml:space="preserve"> передбаченим Планом є проведення 3-х раундів додаткової вакцинації. Два тури - дітям віком від 2 місяців до 6 років (5 років, 11 місяців, 29 днів). Третій - розширений тур, із залученням дітей віком від 2 місяців до 10 років (9 років, 11 місяців, 29 днів).</w:t>
      </w:r>
    </w:p>
    <w:p w:rsidR="00DC6162" w:rsidRDefault="00DC6162" w:rsidP="00857E1E">
      <w:pPr>
        <w:spacing w:line="276" w:lineRule="auto"/>
        <w:ind w:firstLine="567"/>
        <w:jc w:val="both"/>
      </w:pPr>
      <w:r>
        <w:rPr>
          <w:color w:val="000000"/>
          <w:lang w:eastAsia="uk-UA"/>
        </w:rPr>
        <w:t xml:space="preserve">Станом на 05.10.2015 року відповідно до наказів </w:t>
      </w:r>
      <w:r>
        <w:t>від 25.09.2015 № 625 «Про розподіл вакцини 090 tOPV</w:t>
      </w:r>
      <w:r>
        <w:rPr>
          <w:rFonts w:ascii="Calibri" w:hAnsi="Calibri"/>
        </w:rPr>
        <w:t> </w:t>
      </w:r>
      <w:r>
        <w:t>10Flask_10Doses_VVMXFAR UNI та виробів медичного призначення, наданих Представництвом Дитячого Фонду ООН в Україні (ЮНІСЕФ), у якості гуманітарної допомоги» та від 28.09.2015 № 631 «Про розподіл вакцини IMOVAX_POLIO 10</w:t>
      </w:r>
      <w:r>
        <w:rPr>
          <w:lang w:val="en-US"/>
        </w:rPr>
        <w:t>F</w:t>
      </w:r>
      <w:r>
        <w:t>_10</w:t>
      </w:r>
      <w:r>
        <w:rPr>
          <w:lang w:val="en-US"/>
        </w:rPr>
        <w:t>D</w:t>
      </w:r>
      <w:r>
        <w:t>_</w:t>
      </w:r>
      <w:r>
        <w:rPr>
          <w:lang w:val="en-US"/>
        </w:rPr>
        <w:t>VVM</w:t>
      </w:r>
      <w:r w:rsidRPr="00DC6162">
        <w:t xml:space="preserve"> </w:t>
      </w:r>
      <w:r>
        <w:rPr>
          <w:lang w:val="en-US"/>
        </w:rPr>
        <w:t>XFAE</w:t>
      </w:r>
      <w:r w:rsidRPr="00DC6162">
        <w:t xml:space="preserve"> </w:t>
      </w:r>
      <w:r>
        <w:rPr>
          <w:lang w:val="en-US"/>
        </w:rPr>
        <w:t>INT</w:t>
      </w:r>
      <w:r>
        <w:t xml:space="preserve"> та виробів медичного призначення, наданих Представництвом Дитячого Фонду ООН в Україні (ЮНІСЕФ), у якості гуманітарної допомоги» </w:t>
      </w:r>
      <w:r>
        <w:rPr>
          <w:color w:val="000000"/>
          <w:lang w:eastAsia="uk-UA"/>
        </w:rPr>
        <w:t>поставлено у регіони 2,2 млн. доз вакцини проти поліомієліту</w:t>
      </w:r>
      <w:r>
        <w:t xml:space="preserve"> </w:t>
      </w:r>
      <w:r>
        <w:rPr>
          <w:color w:val="000000"/>
          <w:lang w:eastAsia="uk-UA"/>
        </w:rPr>
        <w:t>ОПВ та 600 тис. доз вакцини ІПВ</w:t>
      </w:r>
      <w:r>
        <w:t>.</w:t>
      </w:r>
    </w:p>
    <w:p w:rsidR="00390AFD" w:rsidRDefault="00390AFD" w:rsidP="00390AFD">
      <w:pPr>
        <w:spacing w:line="276" w:lineRule="auto"/>
        <w:ind w:firstLine="851"/>
        <w:jc w:val="both"/>
      </w:pPr>
      <w:r>
        <w:t xml:space="preserve">Поставлена інактивована поліомієлітна вакцина (ІПВ) має бути використана для проведення лише першого щеплення всім не вакцинованим проти поліомієліту дітям. </w:t>
      </w:r>
    </w:p>
    <w:p w:rsidR="00300A77" w:rsidRDefault="00300A77" w:rsidP="00857E1E">
      <w:pPr>
        <w:spacing w:line="276" w:lineRule="auto"/>
        <w:ind w:firstLine="851"/>
        <w:jc w:val="both"/>
      </w:pPr>
      <w:r>
        <w:t>Відповідно до рішення Оперативного штабу</w:t>
      </w:r>
      <w:r w:rsidRPr="00300A77">
        <w:t xml:space="preserve"> </w:t>
      </w:r>
      <w:r>
        <w:t xml:space="preserve">від 02.10.2015 року, затвердженого наказом МОЗ від </w:t>
      </w:r>
      <w:r w:rsidRPr="002731C9">
        <w:t>11.09.2015  № 590 «Про утворення оперативного штабу Міністерства охорони здоров’я України з попередження циркуляції вакциноспоріднених поліовірусів»</w:t>
      </w:r>
      <w:r>
        <w:t xml:space="preserve">, усі діти, які не отримали жодного щеплення проти поліомієліту, отримують перше щеплення </w:t>
      </w:r>
      <w:r>
        <w:lastRenderedPageBreak/>
        <w:t>інактивованою поліомієлітною вакциною (ІПВ або у складі комбінованих вакцин) та в подальшому не менше ніж через 2 (два) тижні розпочинають щеплення живою, оральною вакциною (ОПВ) в рамках додаткової турової імунізації.</w:t>
      </w:r>
    </w:p>
    <w:p w:rsidR="00857E1E" w:rsidRDefault="00857E1E" w:rsidP="00857E1E">
      <w:pPr>
        <w:spacing w:line="276" w:lineRule="auto"/>
        <w:ind w:firstLine="708"/>
        <w:jc w:val="both"/>
      </w:pPr>
      <w:r>
        <w:t>З метою ефективного проведення запланованих заходів надсилаємо рекомендації щодо проведення вакцинації проти поліомієліту в рамках раундів вакцинації (додається).</w:t>
      </w:r>
    </w:p>
    <w:p w:rsidR="00857E1E" w:rsidRDefault="00857E1E" w:rsidP="00857E1E">
      <w:pPr>
        <w:pStyle w:val="a4"/>
        <w:spacing w:line="276" w:lineRule="auto"/>
        <w:ind w:left="0" w:firstLine="851"/>
        <w:jc w:val="both"/>
      </w:pPr>
      <w:r>
        <w:t>У разі питань</w:t>
      </w:r>
      <w:r w:rsidR="005965DE">
        <w:t>,</w:t>
      </w:r>
      <w:r>
        <w:t xml:space="preserve"> </w:t>
      </w:r>
      <w:r w:rsidR="005965DE">
        <w:t>які</w:t>
      </w:r>
      <w:r>
        <w:t xml:space="preserve"> </w:t>
      </w:r>
      <w:r w:rsidR="005965DE">
        <w:t>можуть виникати</w:t>
      </w:r>
      <w:r>
        <w:t xml:space="preserve"> під час проведення  раундів необхідно звертатися до МОЗ України на електронну адресу (</w:t>
      </w:r>
      <w:hyperlink r:id="rId10" w:history="1">
        <w:r>
          <w:rPr>
            <w:rStyle w:val="a3"/>
            <w:lang w:val="en-US"/>
          </w:rPr>
          <w:t>psm</w:t>
        </w:r>
        <w:r>
          <w:rPr>
            <w:rStyle w:val="a3"/>
            <w:lang w:val="ru-RU"/>
          </w:rPr>
          <w:t>@</w:t>
        </w:r>
        <w:r>
          <w:rPr>
            <w:rStyle w:val="a3"/>
            <w:lang w:val="en-US"/>
          </w:rPr>
          <w:t>moz</w:t>
        </w:r>
        <w:r>
          <w:rPr>
            <w:rStyle w:val="a3"/>
            <w:lang w:val="ru-RU"/>
          </w:rPr>
          <w:t>.</w:t>
        </w:r>
        <w:r>
          <w:rPr>
            <w:rStyle w:val="a3"/>
            <w:lang w:val="en-US"/>
          </w:rPr>
          <w:t>gov</w:t>
        </w:r>
        <w:r>
          <w:rPr>
            <w:rStyle w:val="a3"/>
            <w:lang w:val="ru-RU"/>
          </w:rPr>
          <w:t>.</w:t>
        </w:r>
        <w:r>
          <w:rPr>
            <w:rStyle w:val="a3"/>
            <w:lang w:val="en-US"/>
          </w:rPr>
          <w:t>ua</w:t>
        </w:r>
      </w:hyperlink>
      <w:r>
        <w:t>) або за телефоном 253-83-05.</w:t>
      </w:r>
    </w:p>
    <w:p w:rsidR="00E37175" w:rsidRDefault="00E37175" w:rsidP="00E37175">
      <w:pPr>
        <w:spacing w:line="276" w:lineRule="auto"/>
        <w:ind w:firstLine="708"/>
        <w:jc w:val="both"/>
      </w:pPr>
      <w:r>
        <w:t xml:space="preserve">Також інформуємо, що 19 жовтня 2015 року на 14.00 заплановано проведення селекторної наради з регіонами України з питань, пов’язаних з проведенням раундів імунізації проти поліомієліту. Для участі у селекторній нараді запрошуються </w:t>
      </w:r>
      <w:r w:rsidR="008E6BFC">
        <w:t>керівники</w:t>
      </w:r>
      <w:r w:rsidR="008E6BFC" w:rsidRPr="008E6BFC">
        <w:t xml:space="preserve"> </w:t>
      </w:r>
      <w:r w:rsidR="008E6BFC">
        <w:t xml:space="preserve">Департаментів охорони здоровя ОДА, </w:t>
      </w:r>
      <w:r>
        <w:t>заступники керівників</w:t>
      </w:r>
      <w:r w:rsidR="005965DE">
        <w:t xml:space="preserve"> з материнства та дитинства, головні спеціалісти з педіатрії, сімейної медицини, епідеміології.</w:t>
      </w:r>
    </w:p>
    <w:p w:rsidR="00DC6162" w:rsidRDefault="00DC6162" w:rsidP="00857E1E">
      <w:pPr>
        <w:pStyle w:val="a4"/>
        <w:spacing w:line="276" w:lineRule="auto"/>
        <w:ind w:left="0" w:firstLine="851"/>
        <w:jc w:val="both"/>
      </w:pPr>
    </w:p>
    <w:p w:rsidR="00DC6162" w:rsidRDefault="00DC6162" w:rsidP="00857E1E">
      <w:pPr>
        <w:pStyle w:val="a4"/>
        <w:spacing w:line="276" w:lineRule="auto"/>
        <w:ind w:left="0" w:firstLine="851"/>
        <w:jc w:val="both"/>
      </w:pPr>
    </w:p>
    <w:p w:rsidR="00DC6162" w:rsidRDefault="00DC6162" w:rsidP="00DC6162">
      <w:pPr>
        <w:pStyle w:val="a4"/>
        <w:ind w:left="0" w:firstLine="851"/>
        <w:jc w:val="both"/>
      </w:pPr>
    </w:p>
    <w:p w:rsidR="00DC6162" w:rsidRDefault="00DC6162" w:rsidP="00DC6162">
      <w:pPr>
        <w:jc w:val="both"/>
        <w:rPr>
          <w:b/>
        </w:rPr>
      </w:pPr>
      <w:r>
        <w:rPr>
          <w:b/>
        </w:rPr>
        <w:t xml:space="preserve">        Заступник Міністра                                                  Ігор ПЕРЕГІНЕЦЬ</w:t>
      </w:r>
    </w:p>
    <w:p w:rsidR="00DC6162" w:rsidRDefault="00DC6162" w:rsidP="00DC6162">
      <w:pPr>
        <w:pStyle w:val="a4"/>
        <w:ind w:left="0" w:firstLine="851"/>
        <w:jc w:val="both"/>
      </w:pPr>
    </w:p>
    <w:p w:rsidR="00DC6162" w:rsidRDefault="00DC6162" w:rsidP="00DC6162">
      <w:pPr>
        <w:pStyle w:val="a4"/>
        <w:ind w:left="0" w:firstLine="851"/>
        <w:jc w:val="both"/>
      </w:pPr>
      <w:r>
        <w:t xml:space="preserve">   </w:t>
      </w:r>
    </w:p>
    <w:p w:rsidR="00DC6162" w:rsidRDefault="00DC6162" w:rsidP="00DC6162">
      <w:pPr>
        <w:ind w:firstLine="851"/>
        <w:jc w:val="both"/>
      </w:pPr>
    </w:p>
    <w:p w:rsidR="00DC6162" w:rsidRDefault="00DC6162" w:rsidP="00DC6162">
      <w:pPr>
        <w:ind w:firstLine="851"/>
        <w:jc w:val="both"/>
      </w:pPr>
    </w:p>
    <w:p w:rsidR="00DC6162" w:rsidRDefault="00DC6162" w:rsidP="00DC6162">
      <w:pPr>
        <w:spacing w:line="276" w:lineRule="auto"/>
        <w:ind w:firstLine="567"/>
        <w:jc w:val="both"/>
      </w:pPr>
    </w:p>
    <w:p w:rsidR="00DC6162" w:rsidRDefault="00DC6162" w:rsidP="00DC6162">
      <w:pPr>
        <w:spacing w:line="276" w:lineRule="auto"/>
        <w:ind w:firstLine="567"/>
        <w:jc w:val="both"/>
      </w:pPr>
    </w:p>
    <w:p w:rsidR="00DC6162" w:rsidRDefault="00DC6162" w:rsidP="00DC6162">
      <w:pPr>
        <w:ind w:firstLine="851"/>
      </w:pPr>
    </w:p>
    <w:p w:rsidR="00DC6162" w:rsidRDefault="00DC6162" w:rsidP="00DC6162">
      <w:pPr>
        <w:ind w:firstLine="851"/>
      </w:pPr>
    </w:p>
    <w:p w:rsidR="00DC6162" w:rsidRDefault="00DC6162" w:rsidP="00DC6162">
      <w:pPr>
        <w:ind w:firstLine="851"/>
      </w:pPr>
    </w:p>
    <w:p w:rsidR="00DC6162" w:rsidRDefault="00DC6162" w:rsidP="00DC6162">
      <w:pPr>
        <w:ind w:firstLine="851"/>
      </w:pPr>
    </w:p>
    <w:p w:rsidR="00DC6162" w:rsidRDefault="00DC6162" w:rsidP="00DC6162">
      <w:pPr>
        <w:ind w:firstLine="851"/>
      </w:pPr>
    </w:p>
    <w:p w:rsidR="00DC6162" w:rsidRDefault="00DC6162" w:rsidP="00DC6162">
      <w:pPr>
        <w:ind w:firstLine="851"/>
      </w:pPr>
    </w:p>
    <w:p w:rsidR="005965DE" w:rsidRDefault="005965DE" w:rsidP="00DC6162">
      <w:pPr>
        <w:ind w:firstLine="851"/>
      </w:pPr>
    </w:p>
    <w:p w:rsidR="005965DE" w:rsidRDefault="005965DE" w:rsidP="00DC6162">
      <w:pPr>
        <w:ind w:firstLine="851"/>
      </w:pPr>
    </w:p>
    <w:p w:rsidR="005965DE" w:rsidRDefault="005965DE" w:rsidP="00DC6162">
      <w:pPr>
        <w:ind w:firstLine="851"/>
      </w:pPr>
    </w:p>
    <w:p w:rsidR="005965DE" w:rsidRDefault="005965DE" w:rsidP="00DC6162">
      <w:pPr>
        <w:ind w:firstLine="851"/>
      </w:pPr>
    </w:p>
    <w:p w:rsidR="005965DE" w:rsidRDefault="005965DE" w:rsidP="00DC6162">
      <w:pPr>
        <w:ind w:firstLine="851"/>
      </w:pPr>
    </w:p>
    <w:p w:rsidR="005965DE" w:rsidRDefault="005965DE" w:rsidP="00DC6162">
      <w:pPr>
        <w:ind w:firstLine="851"/>
      </w:pPr>
    </w:p>
    <w:p w:rsidR="00390AFD" w:rsidRDefault="00390AFD" w:rsidP="00DC6162">
      <w:pPr>
        <w:ind w:firstLine="851"/>
      </w:pPr>
    </w:p>
    <w:p w:rsidR="00390AFD" w:rsidRDefault="00390AFD" w:rsidP="00DC6162">
      <w:pPr>
        <w:ind w:firstLine="851"/>
      </w:pPr>
    </w:p>
    <w:p w:rsidR="005965DE" w:rsidRDefault="005965DE" w:rsidP="00DC6162">
      <w:pPr>
        <w:ind w:firstLine="851"/>
      </w:pPr>
    </w:p>
    <w:p w:rsidR="005965DE" w:rsidRDefault="005965DE" w:rsidP="00DC6162">
      <w:pPr>
        <w:ind w:firstLine="851"/>
      </w:pPr>
    </w:p>
    <w:p w:rsidR="00300A77" w:rsidRDefault="00300A77" w:rsidP="00300A77">
      <w:r>
        <w:rPr>
          <w:sz w:val="20"/>
          <w:szCs w:val="20"/>
        </w:rPr>
        <w:t>Платов 2538305</w:t>
      </w:r>
    </w:p>
    <w:p w:rsidR="00DC6162" w:rsidRDefault="00DC6162" w:rsidP="00300A77">
      <w:pPr>
        <w:ind w:firstLine="708"/>
      </w:pPr>
    </w:p>
    <w:p w:rsidR="00E37175" w:rsidRDefault="00E37175" w:rsidP="00300A77">
      <w:pPr>
        <w:jc w:val="right"/>
      </w:pPr>
    </w:p>
    <w:p w:rsidR="00F16BC1" w:rsidRDefault="00300A77" w:rsidP="00300A77">
      <w:pPr>
        <w:jc w:val="right"/>
      </w:pPr>
      <w:r>
        <w:t>Додаток</w:t>
      </w:r>
    </w:p>
    <w:p w:rsidR="00300A77" w:rsidRDefault="00300A77" w:rsidP="00300A77"/>
    <w:p w:rsidR="00300A77" w:rsidRDefault="00300A77" w:rsidP="00300A77">
      <w:pPr>
        <w:ind w:firstLine="708"/>
        <w:jc w:val="center"/>
        <w:rPr>
          <w:b/>
        </w:rPr>
      </w:pPr>
      <w:r w:rsidRPr="00300A77">
        <w:rPr>
          <w:b/>
        </w:rPr>
        <w:t>Рекомендації щодо проведення</w:t>
      </w:r>
      <w:r w:rsidR="00D828FA" w:rsidRPr="00D828FA">
        <w:rPr>
          <w:b/>
          <w:lang w:val="ru-RU"/>
        </w:rPr>
        <w:t xml:space="preserve"> </w:t>
      </w:r>
      <w:r w:rsidR="00D828FA">
        <w:rPr>
          <w:b/>
          <w:lang w:val="ru-RU"/>
        </w:rPr>
        <w:t>додаткової</w:t>
      </w:r>
      <w:r w:rsidRPr="00300A77">
        <w:rPr>
          <w:b/>
        </w:rPr>
        <w:t xml:space="preserve"> вакцинації проти поліомієліту вакциною ОПВ в рамках раундів вакцинації ОПВ</w:t>
      </w:r>
    </w:p>
    <w:p w:rsidR="00300A77" w:rsidRPr="00300A77" w:rsidRDefault="00300A77" w:rsidP="00300A77">
      <w:pPr>
        <w:ind w:firstLine="708"/>
        <w:jc w:val="center"/>
        <w:rPr>
          <w:b/>
        </w:rPr>
      </w:pPr>
    </w:p>
    <w:p w:rsidR="00300A77" w:rsidRPr="00A47AED" w:rsidRDefault="00300A77" w:rsidP="00300A77">
      <w:pPr>
        <w:rPr>
          <w:b/>
        </w:rPr>
      </w:pPr>
      <w:r w:rsidRPr="00A47AED">
        <w:rPr>
          <w:b/>
        </w:rPr>
        <w:t>Критерії включення дітей для отримання ОПВ в рамках раундів вакцинації.</w:t>
      </w:r>
    </w:p>
    <w:p w:rsidR="00300A77" w:rsidRDefault="00300A77" w:rsidP="00300A77">
      <w:pPr>
        <w:pStyle w:val="a4"/>
        <w:numPr>
          <w:ilvl w:val="0"/>
          <w:numId w:val="5"/>
        </w:numPr>
        <w:spacing w:after="200" w:line="276" w:lineRule="auto"/>
      </w:pPr>
      <w:r>
        <w:t xml:space="preserve">Вакцинації ОПВ підлягають усі діти, яким виповнилося на момент початку туру 2 місяці. </w:t>
      </w:r>
    </w:p>
    <w:p w:rsidR="00300A77" w:rsidRDefault="00300A77" w:rsidP="00300A77">
      <w:pPr>
        <w:pStyle w:val="a4"/>
        <w:numPr>
          <w:ilvl w:val="1"/>
          <w:numId w:val="5"/>
        </w:numPr>
        <w:spacing w:after="200" w:line="276" w:lineRule="auto"/>
      </w:pPr>
      <w:r>
        <w:t xml:space="preserve">Якщо на момент проведення другого раунду дитині виповнилося 2 місяці, вона включається до проведення вакцинації в другому та третьому раундах вакцинації. </w:t>
      </w:r>
    </w:p>
    <w:p w:rsidR="00300A77" w:rsidRDefault="00300A77" w:rsidP="00300A77">
      <w:pPr>
        <w:pStyle w:val="a4"/>
        <w:numPr>
          <w:ilvl w:val="1"/>
          <w:numId w:val="5"/>
        </w:numPr>
        <w:spacing w:after="200" w:line="276" w:lineRule="auto"/>
      </w:pPr>
      <w:r>
        <w:t>Якщо на момент проведення третього  раунду дитині виповнилося 2 місяці, вона включається до проведення вакцинації в третьому раунді вакцинації.</w:t>
      </w:r>
    </w:p>
    <w:p w:rsidR="00300A77" w:rsidRPr="00E1195B" w:rsidRDefault="00300A77" w:rsidP="00300A77">
      <w:pPr>
        <w:pStyle w:val="a4"/>
        <w:numPr>
          <w:ilvl w:val="0"/>
          <w:numId w:val="5"/>
        </w:numPr>
        <w:spacing w:after="200" w:line="276" w:lineRule="auto"/>
      </w:pPr>
      <w:r w:rsidRPr="00E1195B">
        <w:t xml:space="preserve">Діти які не </w:t>
      </w:r>
      <w:r>
        <w:t xml:space="preserve">отримали жодної дози вакцини проти поліомієліту </w:t>
      </w:r>
      <w:r w:rsidR="00A0299F">
        <w:t>отримують першу дозу ІПВ та можуть бути далі  вакциновані ОПВ не раніше ніж 14 дн</w:t>
      </w:r>
      <w:r w:rsidR="004B070E">
        <w:t>і</w:t>
      </w:r>
      <w:r w:rsidR="00A0299F">
        <w:t>в після отримання ІПВ.</w:t>
      </w:r>
      <w:r>
        <w:t>.</w:t>
      </w:r>
    </w:p>
    <w:p w:rsidR="00300A77" w:rsidRDefault="004B070E" w:rsidP="00300A77">
      <w:pPr>
        <w:pStyle w:val="a4"/>
        <w:numPr>
          <w:ilvl w:val="0"/>
          <w:numId w:val="5"/>
        </w:numPr>
        <w:spacing w:after="200" w:line="276" w:lineRule="auto"/>
      </w:pPr>
      <w:r>
        <w:t>Діти які раніше</w:t>
      </w:r>
      <w:r w:rsidRPr="00E1195B">
        <w:t xml:space="preserve"> отримали </w:t>
      </w:r>
      <w:r>
        <w:t>щонайменше одну</w:t>
      </w:r>
      <w:r w:rsidRPr="00E1195B">
        <w:t xml:space="preserve"> дозу </w:t>
      </w:r>
      <w:r>
        <w:t xml:space="preserve">інактивованої поліомієлітної вакцини </w:t>
      </w:r>
      <w:r w:rsidRPr="00E1195B">
        <w:t xml:space="preserve">(ІПВ окремо чи в складі комбінованих вакцин або ОПВ) </w:t>
      </w:r>
      <w:r>
        <w:t>більше ніж 14 днів, повинні</w:t>
      </w:r>
      <w:r w:rsidRPr="00E1195B">
        <w:t xml:space="preserve"> отримати ОПВ</w:t>
      </w:r>
      <w:r>
        <w:t xml:space="preserve"> в рамках раундів вакцинації ОПВ</w:t>
      </w:r>
      <w:r w:rsidRPr="00E1195B">
        <w:t xml:space="preserve"> </w:t>
      </w:r>
      <w:r w:rsidR="00300A77" w:rsidRPr="00E1195B">
        <w:t>незалежно від часу отримання останньої дози.</w:t>
      </w:r>
    </w:p>
    <w:p w:rsidR="00300A77" w:rsidRPr="002254A6" w:rsidRDefault="00300A77" w:rsidP="00300A77">
      <w:pPr>
        <w:pStyle w:val="a4"/>
        <w:numPr>
          <w:ilvl w:val="0"/>
          <w:numId w:val="5"/>
        </w:numPr>
        <w:spacing w:after="200" w:line="276" w:lineRule="auto"/>
      </w:pPr>
      <w:r w:rsidRPr="002254A6">
        <w:t xml:space="preserve">Тривалість </w:t>
      </w:r>
      <w:r w:rsidRPr="00A0299F">
        <w:t>першого раунду вакцинації ОПВ складає 3 тижні,</w:t>
      </w:r>
      <w:r>
        <w:t xml:space="preserve"> наступних раундів вакцинації (другого та третього) – 2 тижні. Інтервал між раундами вакцинації ОПВ складає один місяць (30 діб). Відрахування інтервалу між раундами відбувається від останнього дня попереднього раунду вакцинації ОПВ.</w:t>
      </w:r>
    </w:p>
    <w:p w:rsidR="00300A77" w:rsidRDefault="00300A77" w:rsidP="00300A77">
      <w:pPr>
        <w:pStyle w:val="a4"/>
        <w:numPr>
          <w:ilvl w:val="0"/>
          <w:numId w:val="5"/>
        </w:numPr>
        <w:spacing w:after="200" w:line="276" w:lineRule="auto"/>
      </w:pPr>
      <w:r>
        <w:t>Дітям, яким виповнився максимальний вік для включення до раундів вакцинації ОПВ (1 та 2 раунди вакцинації ОПВ – 5 років 11 місяців 29 днів; 3 раунд – 9 років 11 місяців 29 днів), до чергових раундів вакцинації ОПВ не включаються.</w:t>
      </w:r>
    </w:p>
    <w:p w:rsidR="00300A77" w:rsidRDefault="00300A77" w:rsidP="00300A77">
      <w:pPr>
        <w:pStyle w:val="a4"/>
        <w:numPr>
          <w:ilvl w:val="0"/>
          <w:numId w:val="5"/>
        </w:numPr>
        <w:spacing w:after="200" w:line="276" w:lineRule="auto"/>
      </w:pPr>
      <w:r>
        <w:t>Якщо дитина, відповідного віку для включення до раундів вакцинації ОПВ, з тих чи інших причин не отримала вакцинацію ОПВ протягом тривалості раунду вакцинації ОПВ, така дитина все одно включається до наступних раундів вакцинації ОПВ.</w:t>
      </w:r>
    </w:p>
    <w:p w:rsidR="00300A77" w:rsidRDefault="00300A77" w:rsidP="00300A77">
      <w:pPr>
        <w:pStyle w:val="a4"/>
        <w:ind w:left="1068"/>
      </w:pPr>
    </w:p>
    <w:p w:rsidR="00300A77" w:rsidRPr="00443B11" w:rsidRDefault="00300A77" w:rsidP="00300A77">
      <w:pPr>
        <w:rPr>
          <w:b/>
        </w:rPr>
      </w:pPr>
      <w:r w:rsidRPr="00443B11">
        <w:rPr>
          <w:b/>
        </w:rPr>
        <w:t>Облік проведених щеплень для профілактики поліомієліту.</w:t>
      </w:r>
    </w:p>
    <w:p w:rsidR="00300A77" w:rsidRDefault="00300A77" w:rsidP="00300A77">
      <w:pPr>
        <w:pStyle w:val="a4"/>
        <w:numPr>
          <w:ilvl w:val="0"/>
          <w:numId w:val="1"/>
        </w:numPr>
        <w:spacing w:after="200" w:line="276" w:lineRule="auto"/>
      </w:pPr>
      <w:r w:rsidRPr="00E1195B">
        <w:t xml:space="preserve">Для кожного </w:t>
      </w:r>
      <w:r>
        <w:t>раунду вакцинації ОПВ</w:t>
      </w:r>
      <w:r w:rsidRPr="00E1195B">
        <w:t xml:space="preserve"> заклади охорони здоров’я мають переглядати і оновлювати список дітей цільової вікової групи </w:t>
      </w:r>
      <w:r w:rsidR="004B070E">
        <w:t>на відповідній адміністративній території.</w:t>
      </w:r>
    </w:p>
    <w:p w:rsidR="00300A77" w:rsidRDefault="00300A77" w:rsidP="00300A77">
      <w:pPr>
        <w:pStyle w:val="a4"/>
        <w:numPr>
          <w:ilvl w:val="0"/>
          <w:numId w:val="1"/>
        </w:numPr>
        <w:spacing w:after="200" w:line="276" w:lineRule="auto"/>
      </w:pPr>
      <w:r>
        <w:t>Вакцинація ОПВ проти поліомієліту, що проведена за Календарем (наказ МОЗ України №551 від 11.08.2014 «</w:t>
      </w:r>
      <w:r w:rsidRPr="00CD494A">
        <w:t>Про удосконалення проведення профілактичних щеплень в Україні</w:t>
      </w:r>
      <w:r>
        <w:t>») під час проведення одного з раундів вакцинації ОПВ, зараховується як вакцинація проведена в рамках цього раунду вакцинації ОПВ.</w:t>
      </w:r>
    </w:p>
    <w:p w:rsidR="00300A77" w:rsidRDefault="00300A77" w:rsidP="00300A77">
      <w:pPr>
        <w:pStyle w:val="a4"/>
        <w:numPr>
          <w:ilvl w:val="0"/>
          <w:numId w:val="1"/>
        </w:numPr>
        <w:spacing w:after="200" w:line="276" w:lineRule="auto"/>
      </w:pPr>
      <w:r>
        <w:t>Вакцинація ОПВ проти поліомієліту, проведена за Календарем (наказ МОЗ України №551 від 11.08.2014 «</w:t>
      </w:r>
      <w:r w:rsidRPr="00CD494A">
        <w:t>Про удосконалення проведення профілактичних щеплень в Україні</w:t>
      </w:r>
      <w:r>
        <w:t>»), але не проведена під час раунду вакцинації ОПВ, не зараховується як вакцинація ОПВ проведена в рамках раунду.</w:t>
      </w:r>
    </w:p>
    <w:p w:rsidR="00300A77" w:rsidRDefault="004B070E" w:rsidP="00300A77">
      <w:pPr>
        <w:pStyle w:val="a4"/>
        <w:numPr>
          <w:ilvl w:val="0"/>
          <w:numId w:val="1"/>
        </w:numPr>
        <w:spacing w:after="200" w:line="276" w:lineRule="auto"/>
      </w:pPr>
      <w:r>
        <w:t>До</w:t>
      </w:r>
      <w:r w:rsidR="00D07179">
        <w:t xml:space="preserve"> </w:t>
      </w:r>
      <w:r w:rsidR="00300A77" w:rsidRPr="004B070E">
        <w:t>плану вакцинації</w:t>
      </w:r>
      <w:r w:rsidR="00300A77" w:rsidRPr="00C4794A">
        <w:t xml:space="preserve"> в рамках раундів вакцинації ОПВ включаються діти відповідних вікових категорій</w:t>
      </w:r>
      <w:r w:rsidR="00300A77">
        <w:t xml:space="preserve"> незалежно від наявності </w:t>
      </w:r>
      <w:r w:rsidR="00300A77" w:rsidRPr="00C4794A">
        <w:t>протипоказан</w:t>
      </w:r>
      <w:r w:rsidR="00300A77">
        <w:t>ь</w:t>
      </w:r>
      <w:r w:rsidR="00300A77" w:rsidRPr="00C4794A">
        <w:t xml:space="preserve"> до вакцинації ІПВ/ОПВ.</w:t>
      </w:r>
    </w:p>
    <w:p w:rsidR="00300A77" w:rsidRDefault="00300A77" w:rsidP="00300A77">
      <w:pPr>
        <w:pStyle w:val="a4"/>
        <w:numPr>
          <w:ilvl w:val="0"/>
          <w:numId w:val="1"/>
        </w:numPr>
        <w:spacing w:after="200" w:line="276" w:lineRule="auto"/>
      </w:pPr>
      <w:r>
        <w:t>Вакцина ОПВ в рамках раундів вакцинації вводиться або в один день, або з будь-яким інтервалом з вакцинами, що використовуються для вакцинації за Календарем (за винятком БЦЖ. Інтервал з вакцинацією БЦЖ має складати 1 місяць.)</w:t>
      </w:r>
    </w:p>
    <w:p w:rsidR="00300A77" w:rsidRDefault="00300A77" w:rsidP="00300A77">
      <w:pPr>
        <w:pStyle w:val="a4"/>
        <w:numPr>
          <w:ilvl w:val="0"/>
          <w:numId w:val="1"/>
        </w:numPr>
        <w:spacing w:after="200" w:line="276" w:lineRule="auto"/>
      </w:pPr>
      <w:r>
        <w:t>Отримана вакцинація ІПВ/ОПВ в рамках раундів вакцинації ОПВ з дотриманням установлених МОЗ України (наказ МОЗ України №551 від 11.08.2014 «</w:t>
      </w:r>
      <w:r w:rsidRPr="00CD494A">
        <w:t>Про удосконалення проведення профілактичних щеплень в Україні</w:t>
      </w:r>
      <w:r>
        <w:t>») мінімальних інтервалів між щепленнями для профілактики поліомієліту, що співпала з вакцинацією за віком (вакцинацією в рамках календаря щеплень), зараховується в т.ч. і як вакцинація проведена за віком.</w:t>
      </w:r>
    </w:p>
    <w:p w:rsidR="00300A77" w:rsidRPr="009D0FAB" w:rsidRDefault="00300A77" w:rsidP="00300A77">
      <w:pPr>
        <w:ind w:left="708"/>
      </w:pPr>
    </w:p>
    <w:p w:rsidR="00300A77" w:rsidRPr="00443B11" w:rsidRDefault="00300A77" w:rsidP="00300A77">
      <w:pPr>
        <w:rPr>
          <w:b/>
        </w:rPr>
      </w:pPr>
      <w:r w:rsidRPr="00443B11">
        <w:rPr>
          <w:b/>
        </w:rPr>
        <w:t>Порядок проведення щеплень для профілактики поліомієліту.</w:t>
      </w:r>
    </w:p>
    <w:p w:rsidR="00300A77" w:rsidRDefault="00A0299F" w:rsidP="00300A77">
      <w:pPr>
        <w:pStyle w:val="a4"/>
        <w:numPr>
          <w:ilvl w:val="0"/>
          <w:numId w:val="2"/>
        </w:numPr>
        <w:spacing w:after="200" w:line="276" w:lineRule="auto"/>
      </w:pPr>
      <w:r>
        <w:t>З метою раціонального використання вакцини в</w:t>
      </w:r>
      <w:r w:rsidR="00300A77">
        <w:t xml:space="preserve"> закладах охорони здоров’я</w:t>
      </w:r>
      <w:r>
        <w:t>, необхідно</w:t>
      </w:r>
      <w:r w:rsidR="00300A77">
        <w:t xml:space="preserve"> визначити окремий день для проведення вакцинації дітей ІПВ з багатодозових флаконів, окремі дні (4 дні тижня) для вакцинації ОПВ з багатодозових флаконів. Не дозволяється поєднувати в один день різним дітям в одному закладі охорони здоров’я вакцинацію ІПВ та ОПВ.</w:t>
      </w:r>
      <w:r w:rsidR="00FC69F0">
        <w:t xml:space="preserve"> Відкритий флакон має зберігатися у холодильнику при температурі +2-+8</w:t>
      </w:r>
      <w:r>
        <w:t xml:space="preserve"> </w:t>
      </w:r>
      <w:r w:rsidR="00FC69F0">
        <w:t>та</w:t>
      </w:r>
      <w:r w:rsidR="00FC69F0" w:rsidRPr="00FC69F0">
        <w:t xml:space="preserve"> </w:t>
      </w:r>
      <w:r w:rsidR="00FC69F0">
        <w:t>не повинен</w:t>
      </w:r>
      <w:r w:rsidR="00FC69F0" w:rsidRPr="00E1195B">
        <w:t xml:space="preserve"> використовуватися після 6 г</w:t>
      </w:r>
      <w:r w:rsidR="00FC69F0">
        <w:t>один з моменту відкриття флакону</w:t>
      </w:r>
      <w:r>
        <w:t>.</w:t>
      </w:r>
      <w:r w:rsidR="00FC69F0">
        <w:t xml:space="preserve"> </w:t>
      </w:r>
    </w:p>
    <w:p w:rsidR="00300A77" w:rsidRDefault="00300A77" w:rsidP="00300A77">
      <w:pPr>
        <w:pStyle w:val="a4"/>
        <w:numPr>
          <w:ilvl w:val="0"/>
          <w:numId w:val="2"/>
        </w:numPr>
        <w:spacing w:after="200" w:line="276" w:lineRule="auto"/>
      </w:pPr>
      <w:r>
        <w:t>В</w:t>
      </w:r>
      <w:r w:rsidRPr="00C4794A">
        <w:t xml:space="preserve"> усній або письмовій формі запрошують до закладів охорони здоров’я дітей, які підлягають щепленню, батьків або інших законних представників, що їх замінюють, у день, визначений для проведенн</w:t>
      </w:r>
      <w:r>
        <w:t>я щеплень.</w:t>
      </w:r>
    </w:p>
    <w:p w:rsidR="00300A77" w:rsidRDefault="00300A77" w:rsidP="00300A77">
      <w:pPr>
        <w:pStyle w:val="a4"/>
        <w:numPr>
          <w:ilvl w:val="0"/>
          <w:numId w:val="2"/>
        </w:numPr>
        <w:spacing w:after="200" w:line="276" w:lineRule="auto"/>
      </w:pPr>
      <w:r>
        <w:t>Протипоказання до вакцинації ОПВ та ІПВ визначаються чинними рекомендаціями МОЗ України щодо проведення імунопрофілактики (наказ МОЗ України №551 від 11.08.2014 «</w:t>
      </w:r>
      <w:r w:rsidRPr="00CD494A">
        <w:t>Про удосконалення проведення профілактичних щеплень в Україні</w:t>
      </w:r>
      <w:r>
        <w:t>»).</w:t>
      </w:r>
    </w:p>
    <w:p w:rsidR="00300A77" w:rsidRPr="00CD2437" w:rsidRDefault="00300A77" w:rsidP="00300A77">
      <w:pPr>
        <w:pStyle w:val="a4"/>
        <w:numPr>
          <w:ilvl w:val="0"/>
          <w:numId w:val="2"/>
        </w:numPr>
        <w:spacing w:after="200" w:line="276" w:lineRule="auto"/>
      </w:pPr>
      <w:r w:rsidRPr="00CD2437">
        <w:t xml:space="preserve">Вакцинація в рамках раундів вакцинації ОПВ проводиться в закладах охорони здоров’я </w:t>
      </w:r>
      <w:r w:rsidR="00FC69F0">
        <w:t xml:space="preserve">та за потреби виїзними бригадами, </w:t>
      </w:r>
      <w:r w:rsidRPr="00CD2437">
        <w:t>після огляду дитини за інформованою згодою одним з батьків або іншим законним представником дитини</w:t>
      </w:r>
    </w:p>
    <w:p w:rsidR="00300A77" w:rsidRDefault="00300A77" w:rsidP="00300A77">
      <w:pPr>
        <w:pStyle w:val="a4"/>
        <w:numPr>
          <w:ilvl w:val="0"/>
          <w:numId w:val="2"/>
        </w:numPr>
        <w:spacing w:after="200" w:line="276" w:lineRule="auto"/>
      </w:pPr>
      <w:r w:rsidRPr="001A7FFB">
        <w:t>Кабінет щеплень може бути постійно діючим або тимчасовим. Постійн</w:t>
      </w:r>
      <w:r>
        <w:t>о діючий або тимчасовий кабінет.</w:t>
      </w:r>
    </w:p>
    <w:p w:rsidR="00300A77" w:rsidRDefault="00300A77" w:rsidP="00300A77">
      <w:pPr>
        <w:pStyle w:val="a4"/>
        <w:numPr>
          <w:ilvl w:val="0"/>
          <w:numId w:val="2"/>
        </w:numPr>
        <w:spacing w:after="200" w:line="276" w:lineRule="auto"/>
      </w:pPr>
      <w:r w:rsidRPr="004135AC">
        <w:t>Згода або відмова від вакцинації здійснюється шляхом заповнення форми первинної облікової документації № 063-2/о «Інформована згода та оцінка стану здоров'я особи або дитини одним з батьків або іншим законним представником дитини на проведення щеплення</w:t>
      </w:r>
      <w:r>
        <w:t xml:space="preserve"> </w:t>
      </w:r>
      <w:r w:rsidRPr="004135AC">
        <w:t>або туберкулінодіагностики», затвердженої наказом Міністерства охорони здоров’я України від 31 грудня 2009 року № 1086, зареєстрованим у Міністерстві юстиції України 02 серпня 2010 року за № 594/17889.</w:t>
      </w:r>
    </w:p>
    <w:p w:rsidR="00300A77" w:rsidRDefault="00300A77" w:rsidP="00300A77">
      <w:pPr>
        <w:pStyle w:val="a4"/>
        <w:numPr>
          <w:ilvl w:val="0"/>
          <w:numId w:val="2"/>
        </w:numPr>
        <w:spacing w:after="200" w:line="276" w:lineRule="auto"/>
        <w:jc w:val="both"/>
      </w:pPr>
      <w:r w:rsidRPr="004352A1">
        <w:t xml:space="preserve">На кожну вакциновану дитину повинні бути належним чином заповнені наступні документи: </w:t>
      </w:r>
    </w:p>
    <w:p w:rsidR="00300A77" w:rsidRDefault="00300A77" w:rsidP="00300A77">
      <w:pPr>
        <w:pStyle w:val="a4"/>
        <w:numPr>
          <w:ilvl w:val="1"/>
          <w:numId w:val="4"/>
        </w:numPr>
        <w:spacing w:after="200" w:line="276" w:lineRule="auto"/>
        <w:jc w:val="both"/>
      </w:pPr>
      <w:r w:rsidRPr="004352A1">
        <w:t xml:space="preserve">Форма №063/2 Поінформована згода та оцінка стану здоров’я особи або дитини батьками або іншими законними представниками дитини для проведення вакцинації або туберкулінової проби; </w:t>
      </w:r>
    </w:p>
    <w:p w:rsidR="00300A77" w:rsidRDefault="00300A77" w:rsidP="00300A77">
      <w:pPr>
        <w:pStyle w:val="a4"/>
        <w:numPr>
          <w:ilvl w:val="1"/>
          <w:numId w:val="4"/>
        </w:numPr>
        <w:spacing w:after="200" w:line="276" w:lineRule="auto"/>
        <w:jc w:val="both"/>
      </w:pPr>
      <w:r w:rsidRPr="004352A1">
        <w:t xml:space="preserve">Форма №025/o Медична карта амбулаторного хворого (або картки 025-1/o, або 025-3/o або 026/o); </w:t>
      </w:r>
    </w:p>
    <w:p w:rsidR="00300A77" w:rsidRDefault="00300A77" w:rsidP="00300A77">
      <w:pPr>
        <w:pStyle w:val="a4"/>
        <w:numPr>
          <w:ilvl w:val="1"/>
          <w:numId w:val="4"/>
        </w:numPr>
        <w:spacing w:after="200" w:line="276" w:lineRule="auto"/>
        <w:jc w:val="both"/>
      </w:pPr>
      <w:r w:rsidRPr="004352A1">
        <w:t xml:space="preserve">Форма №112/o Медична карта дитини; </w:t>
      </w:r>
    </w:p>
    <w:p w:rsidR="00300A77" w:rsidRPr="004352A1" w:rsidRDefault="00300A77" w:rsidP="00300A77">
      <w:pPr>
        <w:pStyle w:val="a4"/>
        <w:numPr>
          <w:ilvl w:val="1"/>
          <w:numId w:val="4"/>
        </w:numPr>
        <w:spacing w:after="200" w:line="276" w:lineRule="auto"/>
        <w:jc w:val="both"/>
      </w:pPr>
      <w:r w:rsidRPr="004352A1">
        <w:t>Форма №063/o Картка імунізації.</w:t>
      </w:r>
    </w:p>
    <w:p w:rsidR="00300A77" w:rsidRDefault="00300A77" w:rsidP="00300A77"/>
    <w:p w:rsidR="00300A77" w:rsidRPr="00CD494A" w:rsidRDefault="00300A77" w:rsidP="00300A77">
      <w:pPr>
        <w:rPr>
          <w:b/>
        </w:rPr>
      </w:pPr>
      <w:r w:rsidRPr="00CD494A">
        <w:rPr>
          <w:b/>
        </w:rPr>
        <w:t>Правила використання та зберігання ОПВ.</w:t>
      </w:r>
    </w:p>
    <w:p w:rsidR="00300A77" w:rsidRPr="00B32EB6" w:rsidRDefault="00300A77" w:rsidP="00300A77">
      <w:pPr>
        <w:pStyle w:val="a4"/>
        <w:numPr>
          <w:ilvl w:val="0"/>
          <w:numId w:val="3"/>
        </w:numPr>
        <w:spacing w:after="200" w:line="276" w:lineRule="auto"/>
      </w:pPr>
      <w:r w:rsidRPr="00E1195B">
        <w:rPr>
          <w:rFonts w:cs="GillSansMTStd-Medium"/>
        </w:rPr>
        <w:t>Доза вакцинації складає 2 краплі (0,1 мл). В кожному флаконі ОПВ міститься 10 доз</w:t>
      </w:r>
      <w:r>
        <w:rPr>
          <w:rFonts w:cs="GillSansMTStd-Medium"/>
        </w:rPr>
        <w:t xml:space="preserve">. </w:t>
      </w:r>
      <w:r w:rsidRPr="00E1195B">
        <w:rPr>
          <w:rFonts w:eastAsiaTheme="majorEastAsia" w:cstheme="majorBidi"/>
          <w:bCs/>
        </w:rPr>
        <w:t xml:space="preserve">Для </w:t>
      </w:r>
      <w:r>
        <w:rPr>
          <w:rFonts w:eastAsiaTheme="majorEastAsia" w:cstheme="majorBidi"/>
          <w:bCs/>
        </w:rPr>
        <w:t>другого та третього раундів</w:t>
      </w:r>
      <w:r w:rsidRPr="00E1195B">
        <w:rPr>
          <w:rFonts w:eastAsiaTheme="majorEastAsia" w:cstheme="majorBidi"/>
          <w:bCs/>
        </w:rPr>
        <w:t>, залежно від наявності вакцини та епідеміології спалаху,  може бути розглянуте застосування інших прекваліфікованих ВООЗ вакцин ОПВ або ж її іншої форми випуску (напр..: та ж вакцина у 20-ти дозових флаконах).</w:t>
      </w:r>
    </w:p>
    <w:p w:rsidR="00300A77" w:rsidRDefault="00300A77" w:rsidP="00300A77">
      <w:pPr>
        <w:pStyle w:val="a4"/>
        <w:numPr>
          <w:ilvl w:val="0"/>
          <w:numId w:val="3"/>
        </w:numPr>
        <w:spacing w:after="200" w:line="276" w:lineRule="auto"/>
      </w:pPr>
      <w:r>
        <w:t>В</w:t>
      </w:r>
      <w:r w:rsidRPr="00E1195B">
        <w:t>ідкритий флакон</w:t>
      </w:r>
      <w:r>
        <w:t xml:space="preserve"> з вакциною ОПВ</w:t>
      </w:r>
      <w:r w:rsidRPr="00E1195B">
        <w:t xml:space="preserve"> може використовуватися протягом сесії імунізації тривалістю до 6 годин або до кінця робочого дня, залежно від того, що настане першим. Вакцина не повинна використовуватися після 6 годин з моменту відкриття флакону. Всі відкриті флакони мають бути негайно утилізовані після 6 годин з моменту відкриття.</w:t>
      </w:r>
    </w:p>
    <w:p w:rsidR="00300A77" w:rsidRDefault="00300A77" w:rsidP="00300A77">
      <w:pPr>
        <w:pStyle w:val="a4"/>
        <w:numPr>
          <w:ilvl w:val="0"/>
          <w:numId w:val="3"/>
        </w:numPr>
        <w:spacing w:after="200" w:line="276" w:lineRule="auto"/>
      </w:pPr>
      <w:r w:rsidRPr="00E1195B">
        <w:t>Коли відкривається багатодозовий флакон</w:t>
      </w:r>
      <w:r>
        <w:t xml:space="preserve"> ОПВ</w:t>
      </w:r>
      <w:r w:rsidRPr="00E1195B">
        <w:t>, медичний працівник на флаконі вказує дату і час відкриття флакону.</w:t>
      </w:r>
    </w:p>
    <w:p w:rsidR="00300A77" w:rsidRDefault="00300A77" w:rsidP="00300A77">
      <w:pPr>
        <w:pStyle w:val="a4"/>
        <w:numPr>
          <w:ilvl w:val="0"/>
          <w:numId w:val="3"/>
        </w:numPr>
        <w:spacing w:after="200" w:line="276" w:lineRule="auto"/>
      </w:pPr>
      <w:r w:rsidRPr="00E1195B">
        <w:t>На рівні закладів охорони здоров’я ОПВ  вакцини мають зберігатися у холодильнику при температурі від +2 до +8</w:t>
      </w:r>
      <w:r w:rsidRPr="00E1195B">
        <w:rPr>
          <w:vertAlign w:val="superscript"/>
        </w:rPr>
        <w:t>o</w:t>
      </w:r>
      <w:r w:rsidRPr="00E1195B">
        <w:t>C.</w:t>
      </w:r>
    </w:p>
    <w:p w:rsidR="00300A77" w:rsidRDefault="00300A77" w:rsidP="00300A77">
      <w:pPr>
        <w:pStyle w:val="a4"/>
        <w:numPr>
          <w:ilvl w:val="0"/>
          <w:numId w:val="3"/>
        </w:numPr>
        <w:spacing w:after="200" w:line="276" w:lineRule="auto"/>
      </w:pPr>
      <w:r>
        <w:t>Використовуватися можуть лише ті флакони з ОПВ, на яких термоіндикатор вказує на оптимальні умови зберігання ОПВ – внутрішній квадрат термоіндикатору світліший за зовнішнє коло. У всіх випадках, коли внутрішній квадрат термоіндикатору на флаконі, що місить ОПВ, однаковий  за кольором або темніший за зовнішнє коло, вакцину з такого флакону використовувати заборонено.</w:t>
      </w:r>
    </w:p>
    <w:p w:rsidR="00300A77" w:rsidRPr="00E1195B" w:rsidRDefault="00300A77" w:rsidP="00300A77">
      <w:pPr>
        <w:autoSpaceDE w:val="0"/>
        <w:autoSpaceDN w:val="0"/>
        <w:adjustRightInd w:val="0"/>
        <w:rPr>
          <w:rFonts w:cs="Arial"/>
          <w:b/>
        </w:rPr>
      </w:pPr>
      <w:r w:rsidRPr="00E1195B">
        <w:rPr>
          <w:rFonts w:cs="GillSansMTStd-Medium"/>
          <w:b/>
        </w:rPr>
        <w:t>Методика введення ОПВ</w:t>
      </w:r>
    </w:p>
    <w:p w:rsidR="00300A77" w:rsidRPr="00E1195B" w:rsidRDefault="00300A77" w:rsidP="00300A77">
      <w:pPr>
        <w:pStyle w:val="ListNumber"/>
        <w:numPr>
          <w:ilvl w:val="0"/>
          <w:numId w:val="7"/>
        </w:numPr>
        <w:rPr>
          <w:rFonts w:asciiTheme="minorHAnsi" w:hAnsiTheme="minorHAnsi"/>
          <w:lang w:val="uk-UA"/>
        </w:rPr>
      </w:pPr>
      <w:r w:rsidRPr="00E1195B">
        <w:rPr>
          <w:rFonts w:asciiTheme="minorHAnsi" w:hAnsiTheme="minorHAnsi"/>
          <w:lang w:val="uk-UA"/>
        </w:rPr>
        <w:t>Попросіть батька/матір потримати дитину, голова дитини легко відхилена назад.</w:t>
      </w:r>
    </w:p>
    <w:p w:rsidR="00300A77" w:rsidRPr="00E1195B" w:rsidRDefault="00300A77" w:rsidP="00300A77">
      <w:pPr>
        <w:pStyle w:val="ListNumber"/>
        <w:tabs>
          <w:tab w:val="num" w:pos="360"/>
        </w:tabs>
        <w:ind w:left="360" w:hanging="360"/>
        <w:rPr>
          <w:rFonts w:asciiTheme="minorHAnsi" w:hAnsiTheme="minorHAnsi"/>
          <w:lang w:val="uk-UA"/>
        </w:rPr>
      </w:pPr>
      <w:r w:rsidRPr="00E1195B">
        <w:rPr>
          <w:rFonts w:asciiTheme="minorHAnsi" w:hAnsiTheme="minorHAnsi"/>
          <w:lang w:val="uk-UA"/>
        </w:rPr>
        <w:t>Підборіддя та щоки мають бути сухими: менша вірогідність розливу ОПВ.</w:t>
      </w:r>
    </w:p>
    <w:p w:rsidR="00300A77" w:rsidRPr="00E1195B" w:rsidRDefault="00300A77" w:rsidP="00300A77">
      <w:pPr>
        <w:pStyle w:val="ListNumber"/>
        <w:tabs>
          <w:tab w:val="num" w:pos="360"/>
        </w:tabs>
        <w:ind w:left="360" w:hanging="360"/>
        <w:rPr>
          <w:rFonts w:asciiTheme="minorHAnsi" w:hAnsiTheme="minorHAnsi"/>
          <w:b/>
          <w:lang w:val="uk-UA"/>
        </w:rPr>
      </w:pPr>
      <w:r w:rsidRPr="00E1195B">
        <w:rPr>
          <w:rFonts w:asciiTheme="minorHAnsi" w:hAnsiTheme="minorHAnsi"/>
          <w:noProof/>
          <w:lang w:val="uk-UA" w:eastAsia="uk-UA"/>
        </w:rPr>
        <w:drawing>
          <wp:anchor distT="0" distB="0" distL="114300" distR="114300" simplePos="0" relativeHeight="251659264" behindDoc="1" locked="0" layoutInCell="0" allowOverlap="1" wp14:anchorId="1CF4CC05" wp14:editId="7643AA1D">
            <wp:simplePos x="0" y="0"/>
            <wp:positionH relativeFrom="column">
              <wp:posOffset>4173220</wp:posOffset>
            </wp:positionH>
            <wp:positionV relativeFrom="paragraph">
              <wp:posOffset>17145</wp:posOffset>
            </wp:positionV>
            <wp:extent cx="1753870" cy="1616075"/>
            <wp:effectExtent l="0" t="0" r="0" b="3175"/>
            <wp:wrapThrough wrapText="largest">
              <wp:wrapPolygon edited="0">
                <wp:start x="0" y="0"/>
                <wp:lineTo x="0" y="21388"/>
                <wp:lineTo x="21350" y="21388"/>
                <wp:lineTo x="21350" y="0"/>
                <wp:lineTo x="0" y="0"/>
              </wp:wrapPolygon>
            </wp:wrapThrough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870" cy="161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1195B">
        <w:rPr>
          <w:rFonts w:asciiTheme="minorHAnsi" w:hAnsiTheme="minorHAnsi"/>
          <w:lang w:val="uk-UA"/>
        </w:rPr>
        <w:t>М’яко відкрийте рот дитини або натиснувши великим пальцем на підборіддя (для немовлят) або легенько стиснувши пальцями щічки дитини.</w:t>
      </w:r>
    </w:p>
    <w:p w:rsidR="00300A77" w:rsidRPr="004F2095" w:rsidRDefault="00300A77" w:rsidP="00300A77">
      <w:r w:rsidRPr="00E1195B">
        <w:t>Переконайтесь, що 2 краплі вакцини впали з піпетки на язик. Не торкайтеся дитини піпеткою.</w:t>
      </w:r>
    </w:p>
    <w:p w:rsidR="00D66003" w:rsidRPr="00300A77" w:rsidRDefault="00D66003" w:rsidP="00300A77">
      <w:pPr>
        <w:tabs>
          <w:tab w:val="left" w:pos="1275"/>
        </w:tabs>
      </w:pPr>
    </w:p>
    <w:sectPr w:rsidR="00D66003" w:rsidRPr="00300A7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A7D" w:rsidRDefault="00013A7D" w:rsidP="00300A77">
      <w:r>
        <w:separator/>
      </w:r>
    </w:p>
  </w:endnote>
  <w:endnote w:type="continuationSeparator" w:id="0">
    <w:p w:rsidR="00013A7D" w:rsidRDefault="00013A7D" w:rsidP="00300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illSansMTStd-Medi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A7D" w:rsidRDefault="00013A7D" w:rsidP="00300A77">
      <w:r>
        <w:separator/>
      </w:r>
    </w:p>
  </w:footnote>
  <w:footnote w:type="continuationSeparator" w:id="0">
    <w:p w:rsidR="00013A7D" w:rsidRDefault="00013A7D" w:rsidP="00300A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87460"/>
    <w:multiLevelType w:val="singleLevel"/>
    <w:tmpl w:val="67826A9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u w:val="none"/>
      </w:rPr>
    </w:lvl>
  </w:abstractNum>
  <w:abstractNum w:abstractNumId="1">
    <w:nsid w:val="356D4B4A"/>
    <w:multiLevelType w:val="hybridMultilevel"/>
    <w:tmpl w:val="3D3EBCBA"/>
    <w:lvl w:ilvl="0" w:tplc="0422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59A5CDD"/>
    <w:multiLevelType w:val="hybridMultilevel"/>
    <w:tmpl w:val="917854D2"/>
    <w:lvl w:ilvl="0" w:tplc="0422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0C73307"/>
    <w:multiLevelType w:val="hybridMultilevel"/>
    <w:tmpl w:val="9A2E50A2"/>
    <w:lvl w:ilvl="0" w:tplc="79EE34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9A13ACC"/>
    <w:multiLevelType w:val="hybridMultilevel"/>
    <w:tmpl w:val="BCE09128"/>
    <w:lvl w:ilvl="0" w:tplc="0422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1">
      <w:start w:val="1"/>
      <w:numFmt w:val="decimal"/>
      <w:lvlText w:val="%2)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E8D16EB"/>
    <w:multiLevelType w:val="hybridMultilevel"/>
    <w:tmpl w:val="E780BBBA"/>
    <w:lvl w:ilvl="0" w:tplc="0422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 w:numId="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162"/>
    <w:rsid w:val="00013A7D"/>
    <w:rsid w:val="001402AF"/>
    <w:rsid w:val="001847A2"/>
    <w:rsid w:val="001D71D3"/>
    <w:rsid w:val="001E476A"/>
    <w:rsid w:val="0029037B"/>
    <w:rsid w:val="00300A77"/>
    <w:rsid w:val="00390AFD"/>
    <w:rsid w:val="00435FA8"/>
    <w:rsid w:val="00460FEC"/>
    <w:rsid w:val="00492357"/>
    <w:rsid w:val="004B070E"/>
    <w:rsid w:val="005965DE"/>
    <w:rsid w:val="00826636"/>
    <w:rsid w:val="00857E1E"/>
    <w:rsid w:val="00880E4D"/>
    <w:rsid w:val="008E6BFC"/>
    <w:rsid w:val="00A0299F"/>
    <w:rsid w:val="00AB2977"/>
    <w:rsid w:val="00C30369"/>
    <w:rsid w:val="00D07179"/>
    <w:rsid w:val="00D66003"/>
    <w:rsid w:val="00D828FA"/>
    <w:rsid w:val="00DC6162"/>
    <w:rsid w:val="00E37175"/>
    <w:rsid w:val="00F07715"/>
    <w:rsid w:val="00F16BC1"/>
    <w:rsid w:val="00FC6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162"/>
    <w:pPr>
      <w:spacing w:after="0" w:line="240" w:lineRule="auto"/>
    </w:pPr>
    <w:rPr>
      <w:rFonts w:eastAsia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6162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DC616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00A77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00A77"/>
    <w:rPr>
      <w:rFonts w:eastAsia="Times New Roman" w:cs="Times New Roman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300A77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00A77"/>
    <w:rPr>
      <w:rFonts w:eastAsia="Times New Roman" w:cs="Times New Roman"/>
      <w:szCs w:val="28"/>
      <w:lang w:eastAsia="ru-RU"/>
    </w:rPr>
  </w:style>
  <w:style w:type="paragraph" w:customStyle="1" w:styleId="ListNumber">
    <w:name w:val="ListNumber"/>
    <w:basedOn w:val="a9"/>
    <w:rsid w:val="00300A77"/>
    <w:pPr>
      <w:numPr>
        <w:numId w:val="6"/>
      </w:numPr>
      <w:tabs>
        <w:tab w:val="clear" w:pos="360"/>
      </w:tabs>
      <w:spacing w:before="120"/>
      <w:ind w:left="0" w:firstLine="0"/>
      <w:jc w:val="both"/>
    </w:pPr>
    <w:rPr>
      <w:sz w:val="22"/>
      <w:szCs w:val="22"/>
      <w:lang w:val="en-GB" w:eastAsia="zh-CN"/>
    </w:rPr>
  </w:style>
  <w:style w:type="paragraph" w:styleId="a9">
    <w:name w:val="Body Text"/>
    <w:basedOn w:val="a"/>
    <w:link w:val="aa"/>
    <w:uiPriority w:val="99"/>
    <w:semiHidden/>
    <w:unhideWhenUsed/>
    <w:rsid w:val="00300A7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300A77"/>
    <w:rPr>
      <w:rFonts w:eastAsia="Times New Roman" w:cs="Times New Roman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E6BF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E6BFC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162"/>
    <w:pPr>
      <w:spacing w:after="0" w:line="240" w:lineRule="auto"/>
    </w:pPr>
    <w:rPr>
      <w:rFonts w:eastAsia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6162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DC616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00A77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00A77"/>
    <w:rPr>
      <w:rFonts w:eastAsia="Times New Roman" w:cs="Times New Roman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300A77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00A77"/>
    <w:rPr>
      <w:rFonts w:eastAsia="Times New Roman" w:cs="Times New Roman"/>
      <w:szCs w:val="28"/>
      <w:lang w:eastAsia="ru-RU"/>
    </w:rPr>
  </w:style>
  <w:style w:type="paragraph" w:customStyle="1" w:styleId="ListNumber">
    <w:name w:val="ListNumber"/>
    <w:basedOn w:val="a9"/>
    <w:rsid w:val="00300A77"/>
    <w:pPr>
      <w:numPr>
        <w:numId w:val="6"/>
      </w:numPr>
      <w:tabs>
        <w:tab w:val="clear" w:pos="360"/>
      </w:tabs>
      <w:spacing w:before="120"/>
      <w:ind w:left="0" w:firstLine="0"/>
      <w:jc w:val="both"/>
    </w:pPr>
    <w:rPr>
      <w:sz w:val="22"/>
      <w:szCs w:val="22"/>
      <w:lang w:val="en-GB" w:eastAsia="zh-CN"/>
    </w:rPr>
  </w:style>
  <w:style w:type="paragraph" w:styleId="a9">
    <w:name w:val="Body Text"/>
    <w:basedOn w:val="a"/>
    <w:link w:val="aa"/>
    <w:uiPriority w:val="99"/>
    <w:semiHidden/>
    <w:unhideWhenUsed/>
    <w:rsid w:val="00300A7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300A77"/>
    <w:rPr>
      <w:rFonts w:eastAsia="Times New Roman" w:cs="Times New Roman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E6BF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E6BF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8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hyperlink" Target="mailto:psm@moz.gov.ua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6640</Words>
  <Characters>3785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Sergiy</dc:creator>
  <cp:lastModifiedBy>User</cp:lastModifiedBy>
  <cp:revision>2</cp:revision>
  <cp:lastPrinted>2015-10-16T13:37:00Z</cp:lastPrinted>
  <dcterms:created xsi:type="dcterms:W3CDTF">2015-10-16T13:41:00Z</dcterms:created>
  <dcterms:modified xsi:type="dcterms:W3CDTF">2015-10-16T13:41:00Z</dcterms:modified>
</cp:coreProperties>
</file>